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  <w:bookmarkStart w:id="1" w:name="_GoBack"/>
      <w:bookmarkEnd w:id="1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0E753373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471F69">
        <w:rPr>
          <w:rFonts w:ascii="Calibri" w:hAnsi="Calibri" w:cs="Calibri"/>
          <w:b/>
          <w:sz w:val="32"/>
          <w:szCs w:val="28"/>
        </w:rPr>
        <w:t>8</w:t>
      </w:r>
      <w:r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MAS Vyhlídky,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z.s. 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496FAD24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="006E657B">
        <w:rPr>
          <w:b/>
          <w:bCs/>
          <w:sz w:val="30"/>
          <w:szCs w:val="30"/>
        </w:rPr>
        <w:t>CESTOVNÍ RUCH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“</w:t>
      </w:r>
    </w:p>
    <w:p w14:paraId="7D5ABA31" w14:textId="3CD838B5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 xml:space="preserve">VAZBA NA VÝZVU ŘO IROP: </w:t>
      </w:r>
      <w:r w:rsidR="006E657B" w:rsidRPr="00F036BA">
        <w:rPr>
          <w:b/>
          <w:bCs/>
          <w:sz w:val="28"/>
          <w:szCs w:val="32"/>
        </w:rPr>
        <w:t>86. výzva IROP - Cestovní ruch - SC 5.1 (CLLD)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11D1422" w:rsidR="00211D24" w:rsidRDefault="00211D24" w:rsidP="00211D24">
      <w:pPr>
        <w:jc w:val="both"/>
      </w:pPr>
      <w:r>
        <w:t xml:space="preserve">V rámci MAS bude nejprve ze strany kanceláře MAS </w:t>
      </w:r>
      <w:r w:rsidR="00D2254B">
        <w:t xml:space="preserve">Vyhlídky </w:t>
      </w:r>
      <w:r>
        <w:t xml:space="preserve">provedena administrativní kontrola. Věcné hodnocení záměrů provádí </w:t>
      </w:r>
      <w:r w:rsidR="00D2254B">
        <w:t>Hodnotitelská komise MAS Vyhlídky,</w:t>
      </w:r>
      <w:r w:rsidR="00930E16">
        <w:t xml:space="preserve"> </w:t>
      </w:r>
      <w:r w:rsidR="00D2254B">
        <w:t>z.s.</w:t>
      </w:r>
      <w:r w:rsidR="00930E16">
        <w:t>,</w:t>
      </w:r>
      <w:r>
        <w:t xml:space="preserve"> </w:t>
      </w:r>
      <w:r w:rsidR="00D2254B">
        <w:t xml:space="preserve">jakožto povinný </w:t>
      </w:r>
      <w:r>
        <w:t xml:space="preserve"> výběrový orgán. </w:t>
      </w:r>
      <w:r w:rsidR="00930E16">
        <w:t>Výkonná</w:t>
      </w:r>
      <w:r w:rsidR="00D2254B">
        <w:t xml:space="preserve"> rada </w:t>
      </w:r>
      <w:r>
        <w:t xml:space="preserve">MAS </w:t>
      </w:r>
      <w:r w:rsidR="00D2254B">
        <w:t>Vyhlídky,</w:t>
      </w:r>
      <w:r w:rsidR="00930E16">
        <w:t xml:space="preserve"> </w:t>
      </w:r>
      <w:r w:rsidR="00D2254B">
        <w:t xml:space="preserve">z.s.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MAS</w:t>
      </w:r>
      <w:r w:rsidR="00E80384">
        <w:t xml:space="preserve"> </w:t>
      </w:r>
      <w:r w:rsidR="00D2254B">
        <w:t>Vyhlídky,</w:t>
      </w:r>
      <w:r w:rsidR="00930E16">
        <w:t xml:space="preserve"> </w:t>
      </w:r>
      <w:r w:rsidR="00D2254B">
        <w:t>z.s.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43864B6D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2254B" w:rsidRPr="00930E16">
        <w:rPr>
          <w:i/>
        </w:rPr>
        <w:t xml:space="preserve">, </w:t>
      </w:r>
      <w:r w:rsidR="00D2254B">
        <w:t xml:space="preserve">které jsou zveřejněny </w:t>
      </w:r>
      <w:r w:rsidR="00930E16">
        <w:t xml:space="preserve">na: </w:t>
      </w:r>
      <w:hyperlink r:id="rId10" w:history="1">
        <w:r w:rsidR="00930E16" w:rsidRPr="00FE17A5">
          <w:rPr>
            <w:rStyle w:val="Hypertextovodkaz"/>
          </w:rPr>
          <w:t>www.vyhlidky.eu</w:t>
        </w:r>
      </w:hyperlink>
      <w:r w:rsidR="00930E16">
        <w:t>.</w:t>
      </w:r>
    </w:p>
    <w:p w14:paraId="7A0D1AD6" w14:textId="58330EFC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6E657B">
        <w:t>86</w:t>
      </w:r>
      <w:r>
        <w:t xml:space="preserve"> IROP, a to prostřednictvím MS21+. Hodnocení žádostí o podporu je v kompetenci Centra pro regionální rozvoj (CRR). </w:t>
      </w:r>
    </w:p>
    <w:p w14:paraId="7CD82269" w14:textId="39189E2B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6E657B">
        <w:t>86</w:t>
      </w:r>
      <w:r>
        <w:t xml:space="preserve"> IROP (vždy v aktuálním znění).</w:t>
      </w:r>
    </w:p>
    <w:p w14:paraId="2C5650A1" w14:textId="79F6C2FD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6E657B" w:rsidRPr="00D11D2D">
          <w:rPr>
            <w:rStyle w:val="Hypertextovodkaz"/>
          </w:rPr>
          <w:t>https://irop.gov.cz/cs/vyzvy-2021-2027/vyzvy/86vyzvairop</w:t>
        </w:r>
      </w:hyperlink>
      <w:r w:rsidR="006E657B">
        <w:t xml:space="preserve"> </w:t>
      </w:r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5315E7F9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Vyhlídky,z.s.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00770B60" w:rsidR="006E6251" w:rsidRPr="00331076" w:rsidRDefault="006E657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7.2.2 Obnova a budování veřejné infrastruktury CR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62D049F1" w:rsidR="006E6251" w:rsidRPr="006E657B" w:rsidRDefault="006E657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657B">
              <w:rPr>
                <w:rFonts w:cs="Arial"/>
                <w:sz w:val="20"/>
                <w:szCs w:val="20"/>
              </w:rPr>
              <w:t>86. výzva IROP - Cestovní ruch - SC 5.1 (CLLD)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774467B8" w:rsidR="006E6251" w:rsidRPr="00331076" w:rsidRDefault="00471F69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č. 8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57AC521B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602887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6E657B" w:rsidRPr="006E657B">
              <w:rPr>
                <w:color w:val="FF0000"/>
                <w:sz w:val="20"/>
                <w:szCs w:val="20"/>
              </w:rPr>
              <w:t xml:space="preserve">86. výzva IROP - Cestovní ruch - SC 5.1 (CLLD)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56001AB7" w:rsidR="00446298" w:rsidRPr="00D2254B" w:rsidRDefault="00D2254B" w:rsidP="00755FF3">
            <w:pPr>
              <w:rPr>
                <w:color w:val="FF0000"/>
                <w:sz w:val="20"/>
                <w:szCs w:val="20"/>
              </w:rPr>
            </w:pPr>
            <w:r w:rsidRPr="00D2254B">
              <w:rPr>
                <w:color w:val="FF0000"/>
                <w:sz w:val="20"/>
                <w:szCs w:val="20"/>
              </w:rPr>
              <w:t>Uveďte jak je naplněna zásada „významně nepoškozovat“</w:t>
            </w:r>
            <w:r w:rsidR="001D23F4">
              <w:rPr>
                <w:color w:val="FF0000"/>
                <w:sz w:val="20"/>
                <w:szCs w:val="20"/>
              </w:rPr>
              <w:t>.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535BEF3F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023461">
              <w:rPr>
                <w:b/>
              </w:rPr>
              <w:t>projekt realizován (k 1. 1. 2024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28AA6BF9" w:rsidR="00991E7D" w:rsidRPr="00586900" w:rsidRDefault="00991E7D" w:rsidP="00851CE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 xml:space="preserve">yjádření o souladu záměru se SCLLD MAS </w:t>
            </w:r>
            <w:r w:rsidR="002F5533">
              <w:rPr>
                <w:color w:val="FF0000"/>
                <w:sz w:val="20"/>
                <w:szCs w:val="20"/>
              </w:rPr>
              <w:t xml:space="preserve">Vyhlídky má platnost </w:t>
            </w:r>
            <w:r w:rsidR="00851CED">
              <w:rPr>
                <w:color w:val="FF0000"/>
                <w:sz w:val="20"/>
                <w:szCs w:val="20"/>
              </w:rPr>
              <w:t>6 kalendářních měsíců</w:t>
            </w:r>
            <w:r w:rsidRPr="00586900">
              <w:rPr>
                <w:color w:val="FF0000"/>
                <w:sz w:val="20"/>
                <w:szCs w:val="20"/>
              </w:rPr>
              <w:t>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1871D1">
        <w:trPr>
          <w:trHeight w:val="621"/>
        </w:trPr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1871D1">
        <w:trPr>
          <w:trHeight w:val="672"/>
        </w:trPr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6633F365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1871D1">
        <w:trPr>
          <w:trHeight w:val="69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7553E556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5%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25008238" w:rsidR="00647584" w:rsidRPr="00174A6F" w:rsidRDefault="009C76F1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doplňte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7"/>
        <w:gridCol w:w="3688"/>
        <w:gridCol w:w="1843"/>
        <w:gridCol w:w="1142"/>
        <w:gridCol w:w="1252"/>
      </w:tblGrid>
      <w:tr w:rsidR="00991E7D" w:rsidRPr="00D62762" w14:paraId="52964EF1" w14:textId="77777777" w:rsidTr="001871D1">
        <w:trPr>
          <w:trHeight w:val="885"/>
          <w:jc w:val="center"/>
        </w:trPr>
        <w:tc>
          <w:tcPr>
            <w:tcW w:w="1117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6B5F678A" w14:textId="4700FD32" w:rsidR="00991E7D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910 201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4613F9DD" w14:textId="2B243719" w:rsidR="00991E7D" w:rsidRPr="00586900" w:rsidRDefault="001871D1" w:rsidP="001871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Nová či modernizovaná turistická infocentra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65804F" w14:textId="7E223F67" w:rsidR="00991E7D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TIC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4DE1A449" w14:textId="33DCD480" w:rsidR="00991E7D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910 301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646863C0" w14:textId="2BCDCD5F" w:rsidR="00991E7D" w:rsidRPr="00586900" w:rsidRDefault="001871D1" w:rsidP="001871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Vybudovaná nebo vybavená doprovodná infrastruktura pro turismus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C7B7C9" w14:textId="3B6B44AF" w:rsidR="00991E7D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doprovodná turistická INFRA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299F0B51" w14:textId="4A71160F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910 401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5581F452" w14:textId="0627057D" w:rsidR="008F1B30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Délka vybudované či rekonstruované sítě značení turistických tras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86DC15" w14:textId="079FABEC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2A1B25C4" w14:textId="1BB96698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305 002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6E84AAB7" w14:textId="032AF4A2" w:rsidR="008F1B30" w:rsidRPr="004E69A2" w:rsidRDefault="001871D1" w:rsidP="00755FF3">
            <w:pPr>
              <w:spacing w:after="0" w:line="240" w:lineRule="auto"/>
            </w:pPr>
            <w:r>
              <w:t>Počet pořízených informačních systémů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961880" w14:textId="3F5B0EE3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IS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5140AD4F" w14:textId="73C12A34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740 010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394585A5" w14:textId="5A538FA3" w:rsidR="008F1B30" w:rsidRPr="004E69A2" w:rsidRDefault="001871D1" w:rsidP="00755FF3">
            <w:pPr>
              <w:spacing w:after="0" w:line="240" w:lineRule="auto"/>
            </w:pPr>
            <w:r>
              <w:t>Parkovací místa pro vozidla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24CB88" w14:textId="0FD2C153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44C40AB4" w14:textId="014657A7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764 010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2FDB6E90" w14:textId="766ED7DF" w:rsidR="008F1B30" w:rsidRPr="004E69A2" w:rsidRDefault="001871D1" w:rsidP="00755FF3">
            <w:pPr>
              <w:spacing w:after="0" w:line="240" w:lineRule="auto"/>
            </w:pPr>
            <w:r>
              <w:t>Parkovací místa pro jízdní kola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2D559E" w14:textId="195F4030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363A56EE" w14:textId="076E3319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71D1" w:rsidRPr="001C1F58" w14:paraId="7A15263E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5F25A3B6" w14:textId="4061A351" w:rsidR="001871D1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910 601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420672AE" w14:textId="7E97002B" w:rsidR="001871D1" w:rsidRDefault="001871D1" w:rsidP="00755FF3">
            <w:pPr>
              <w:spacing w:after="0" w:line="240" w:lineRule="auto"/>
            </w:pPr>
            <w:r>
              <w:t>Vybudovaná nebo vybavená doprovodná infrastruktura pro vodní a vodáckou turistiku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6A56D4" w14:textId="2C4C5DE4" w:rsidR="001871D1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prvky infrastruktury pro vodní a vodáckou turistiku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691BFC8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0077416A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71D1" w:rsidRPr="001C1F58" w14:paraId="3A9B5422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189E2E57" w14:textId="38D2D91D" w:rsidR="001871D1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910 052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07646F7D" w14:textId="3E85044E" w:rsidR="001871D1" w:rsidRDefault="001871D1" w:rsidP="00755FF3">
            <w:pPr>
              <w:spacing w:after="0" w:line="240" w:lineRule="auto"/>
            </w:pPr>
            <w:r>
              <w:t>Počet návštěvníků podpořených lokalit v oblasti kultury a cestovního ruchu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15C482" w14:textId="7621AE97" w:rsidR="001871D1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5208E9C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D0BD947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71D1" w:rsidRPr="001C1F58" w14:paraId="664A45A5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7D84EA6B" w14:textId="09F07EA0" w:rsidR="001871D1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6F21FA49" w14:textId="544ED6D4" w:rsidR="001871D1" w:rsidRDefault="001871D1" w:rsidP="00755FF3">
            <w:pPr>
              <w:spacing w:after="0" w:line="240" w:lineRule="auto"/>
            </w:pPr>
            <w:r>
              <w:t>Snížení konečné spotřeby energie u podpořených subjektů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8BC69F" w14:textId="0C005B61" w:rsidR="001871D1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E4F7E3A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AAA6751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1871D1">
        <w:trPr>
          <w:trHeight w:val="1007"/>
          <w:jc w:val="center"/>
        </w:trPr>
        <w:tc>
          <w:tcPr>
            <w:tcW w:w="904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0E86467A" w14:textId="610AF91A" w:rsidR="007514B7" w:rsidRPr="007B5D3D" w:rsidRDefault="007514B7" w:rsidP="00755FF3">
            <w:r w:rsidRPr="007B5D3D">
              <w:t>Příloha č. 1</w:t>
            </w:r>
            <w:r w:rsidR="00876383">
              <w:t xml:space="preserve"> Podklady pro hodnoce</w:t>
            </w:r>
            <w:r w:rsidR="00DB7D12">
              <w:t xml:space="preserve">ní ve formátu PDF – příloha č. </w:t>
            </w:r>
            <w:r w:rsidR="00876383">
              <w:t xml:space="preserve">4 </w:t>
            </w:r>
            <w:r w:rsidR="00DB7D12">
              <w:t>Výzvy</w:t>
            </w:r>
          </w:p>
          <w:p w14:paraId="504A612E" w14:textId="77777777" w:rsidR="007514B7" w:rsidRPr="007B5D3D" w:rsidRDefault="007514B7" w:rsidP="00755FF3">
            <w:r w:rsidRPr="007B5D3D">
              <w:t>Příloha č. 2</w:t>
            </w:r>
          </w:p>
          <w:p w14:paraId="749A0218" w14:textId="284850A8" w:rsidR="007514B7" w:rsidRPr="0066158A" w:rsidRDefault="007514B7" w:rsidP="00755FF3">
            <w:pPr>
              <w:rPr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6B33652D" w:rsidR="00211D24" w:rsidRDefault="00930E1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1C821F1E" wp14:editId="630581B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437005" cy="55435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s_vyhlidky!!!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554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04405E">
          <w:rPr>
            <w:noProof/>
          </w:rPr>
          <w:t>1</w:t>
        </w:r>
        <w:r w:rsidR="00211D24"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23461"/>
    <w:rsid w:val="0004405E"/>
    <w:rsid w:val="000E22D9"/>
    <w:rsid w:val="00106565"/>
    <w:rsid w:val="001115D4"/>
    <w:rsid w:val="00117535"/>
    <w:rsid w:val="00124565"/>
    <w:rsid w:val="00164EFD"/>
    <w:rsid w:val="001704A1"/>
    <w:rsid w:val="00174A6F"/>
    <w:rsid w:val="001871D1"/>
    <w:rsid w:val="001B477B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B23DB"/>
    <w:rsid w:val="003E4E8C"/>
    <w:rsid w:val="003F35B4"/>
    <w:rsid w:val="00446298"/>
    <w:rsid w:val="00455349"/>
    <w:rsid w:val="00471F69"/>
    <w:rsid w:val="004A70A7"/>
    <w:rsid w:val="004A7E5C"/>
    <w:rsid w:val="004D7A8D"/>
    <w:rsid w:val="004E037D"/>
    <w:rsid w:val="004E36F2"/>
    <w:rsid w:val="004E4B1D"/>
    <w:rsid w:val="004E69A2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E6251"/>
    <w:rsid w:val="006E657B"/>
    <w:rsid w:val="00726F7F"/>
    <w:rsid w:val="0074625F"/>
    <w:rsid w:val="007514B7"/>
    <w:rsid w:val="00756F8E"/>
    <w:rsid w:val="007D1E1A"/>
    <w:rsid w:val="007E053F"/>
    <w:rsid w:val="00806654"/>
    <w:rsid w:val="00827C2C"/>
    <w:rsid w:val="00832818"/>
    <w:rsid w:val="00851CED"/>
    <w:rsid w:val="00876383"/>
    <w:rsid w:val="008C6FB6"/>
    <w:rsid w:val="008D2D37"/>
    <w:rsid w:val="008F1B30"/>
    <w:rsid w:val="00930E16"/>
    <w:rsid w:val="00991E7D"/>
    <w:rsid w:val="009C76F1"/>
    <w:rsid w:val="009D31A0"/>
    <w:rsid w:val="009D6026"/>
    <w:rsid w:val="00A3124F"/>
    <w:rsid w:val="00AC004D"/>
    <w:rsid w:val="00B2672F"/>
    <w:rsid w:val="00B3624F"/>
    <w:rsid w:val="00BA3A50"/>
    <w:rsid w:val="00BA5D28"/>
    <w:rsid w:val="00C13769"/>
    <w:rsid w:val="00C566ED"/>
    <w:rsid w:val="00C930F7"/>
    <w:rsid w:val="00C973FA"/>
    <w:rsid w:val="00C97923"/>
    <w:rsid w:val="00D17A83"/>
    <w:rsid w:val="00D17B39"/>
    <w:rsid w:val="00D2254B"/>
    <w:rsid w:val="00D62762"/>
    <w:rsid w:val="00D65CEA"/>
    <w:rsid w:val="00DB7D12"/>
    <w:rsid w:val="00DC4000"/>
    <w:rsid w:val="00DE4122"/>
    <w:rsid w:val="00E20954"/>
    <w:rsid w:val="00E52CE8"/>
    <w:rsid w:val="00E77091"/>
    <w:rsid w:val="00E80384"/>
    <w:rsid w:val="00E95273"/>
    <w:rsid w:val="00EF18AB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86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yhlidk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purl.org/dc/elements/1.1/"/>
    <ds:schemaRef ds:uri="http://schemas.microsoft.com/office/2006/metadata/properties"/>
    <ds:schemaRef ds:uri="http://purl.org/dc/terms/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Galina Čermáková</cp:lastModifiedBy>
  <cp:revision>2</cp:revision>
  <dcterms:created xsi:type="dcterms:W3CDTF">2024-08-20T13:41:00Z</dcterms:created>
  <dcterms:modified xsi:type="dcterms:W3CDTF">2024-08-20T13:41:00Z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